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7D14B4" w:rsidRDefault="001C2262" w:rsidP="001C2262">
      <w:pPr>
        <w:pStyle w:val="af5"/>
        <w:contextualSpacing/>
        <w:rPr>
          <w:bCs/>
          <w:sz w:val="28"/>
          <w:szCs w:val="28"/>
        </w:rPr>
      </w:pPr>
      <w:r w:rsidRPr="007D14B4">
        <w:rPr>
          <w:bCs/>
          <w:sz w:val="28"/>
          <w:szCs w:val="28"/>
        </w:rPr>
        <w:t>Российская Федерация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Тайтурского</w:t>
      </w:r>
      <w:r w:rsidRPr="007D14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:rsidR="001C2262" w:rsidRPr="007D14B4" w:rsidRDefault="0014799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ПОСТАНОВЛЕНИЕ</w:t>
      </w:r>
      <w:r w:rsidR="00DA0739">
        <w:rPr>
          <w:b/>
          <w:bCs/>
          <w:sz w:val="28"/>
          <w:szCs w:val="28"/>
        </w:rPr>
        <w:t xml:space="preserve"> </w:t>
      </w:r>
      <w:proofErr w:type="gramStart"/>
      <w:r w:rsidR="00147999">
        <w:rPr>
          <w:b/>
          <w:bCs/>
          <w:sz w:val="28"/>
          <w:szCs w:val="28"/>
        </w:rPr>
        <w:t>-П</w:t>
      </w:r>
      <w:proofErr w:type="gramEnd"/>
      <w:r w:rsidR="00147999">
        <w:rPr>
          <w:b/>
          <w:bCs/>
          <w:sz w:val="28"/>
          <w:szCs w:val="28"/>
        </w:rPr>
        <w:t>РОЕКТ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414742949" w:edGrp="everyone"/>
      <w:r w:rsidRPr="007D14B4">
        <w:rPr>
          <w:sz w:val="28"/>
          <w:szCs w:val="28"/>
        </w:rPr>
        <w:t>От</w:t>
      </w:r>
      <w:r w:rsidR="00C75F60" w:rsidRPr="007D14B4">
        <w:rPr>
          <w:sz w:val="28"/>
          <w:szCs w:val="28"/>
        </w:rPr>
        <w:t xml:space="preserve">   </w:t>
      </w:r>
      <w:r w:rsidR="00147999">
        <w:rPr>
          <w:sz w:val="28"/>
          <w:szCs w:val="28"/>
        </w:rPr>
        <w:t>2023</w:t>
      </w:r>
      <w:r w:rsidR="00294A7A" w:rsidRPr="007D14B4">
        <w:rPr>
          <w:sz w:val="28"/>
          <w:szCs w:val="28"/>
        </w:rPr>
        <w:t>г</w:t>
      </w:r>
      <w:r w:rsidR="00554E75" w:rsidRPr="007D14B4">
        <w:rPr>
          <w:sz w:val="28"/>
          <w:szCs w:val="28"/>
        </w:rPr>
        <w:t>.</w:t>
      </w:r>
      <w:permEnd w:id="1414742949"/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permStart w:id="2079346265" w:edGrp="everyone"/>
      <w:r w:rsidRPr="007D14B4">
        <w:rPr>
          <w:sz w:val="28"/>
          <w:szCs w:val="28"/>
        </w:rPr>
        <w:t>№</w:t>
      </w:r>
      <w:permEnd w:id="2079346265"/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D14B4">
        <w:rPr>
          <w:sz w:val="28"/>
          <w:szCs w:val="28"/>
        </w:rPr>
        <w:t>р.п</w:t>
      </w:r>
      <w:proofErr w:type="spellEnd"/>
      <w:r w:rsidRPr="007D14B4">
        <w:rPr>
          <w:sz w:val="28"/>
          <w:szCs w:val="28"/>
        </w:rPr>
        <w:t xml:space="preserve">. </w:t>
      </w:r>
      <w:r w:rsidR="001C2262" w:rsidRPr="007D14B4">
        <w:rPr>
          <w:sz w:val="28"/>
          <w:szCs w:val="28"/>
        </w:rPr>
        <w:t>Тайтурка</w:t>
      </w:r>
    </w:p>
    <w:p w:rsidR="008E0CA2" w:rsidRPr="007D14B4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1040580832" w:edGrp="everyone"/>
      <w:r w:rsidRPr="007D14B4">
        <w:rPr>
          <w:sz w:val="28"/>
          <w:szCs w:val="28"/>
        </w:rPr>
        <w:t xml:space="preserve">О внесении изменений в </w:t>
      </w:r>
      <w:r w:rsidRPr="007D14B4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7D14B4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  <w:permEnd w:id="1040580832"/>
    </w:p>
    <w:p w:rsidR="00330C72" w:rsidRPr="007D14B4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1058085543" w:edGrp="everyone"/>
      <w:proofErr w:type="gramStart"/>
      <w:r w:rsidRPr="007D14B4">
        <w:rPr>
          <w:sz w:val="28"/>
          <w:szCs w:val="28"/>
        </w:rPr>
        <w:t xml:space="preserve">В связи с 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7D14B4">
        <w:rPr>
          <w:spacing w:val="-1"/>
          <w:sz w:val="28"/>
          <w:szCs w:val="28"/>
        </w:rPr>
        <w:t>руководствуясь</w:t>
      </w:r>
      <w:r w:rsidRPr="007D14B4">
        <w:rPr>
          <w:sz w:val="28"/>
          <w:szCs w:val="28"/>
        </w:rPr>
        <w:t xml:space="preserve"> </w:t>
      </w:r>
      <w:proofErr w:type="spellStart"/>
      <w:r w:rsidRPr="007D14B4">
        <w:rPr>
          <w:sz w:val="28"/>
          <w:szCs w:val="28"/>
        </w:rPr>
        <w:t>ст.ст</w:t>
      </w:r>
      <w:proofErr w:type="spellEnd"/>
      <w:r w:rsidRPr="007D14B4">
        <w:rPr>
          <w:sz w:val="28"/>
          <w:szCs w:val="28"/>
        </w:rPr>
        <w:t>. 6</w:t>
      </w:r>
      <w:proofErr w:type="gramEnd"/>
      <w:r w:rsidRPr="007D14B4">
        <w:rPr>
          <w:sz w:val="28"/>
          <w:szCs w:val="28"/>
        </w:rPr>
        <w:t xml:space="preserve">, 23, 46 Устава Тайтурского  муниципального образования, Администрация </w:t>
      </w:r>
      <w:r w:rsidR="00147999" w:rsidRPr="007D14B4">
        <w:rPr>
          <w:sz w:val="28"/>
          <w:szCs w:val="28"/>
        </w:rPr>
        <w:t>Тайтурского</w:t>
      </w:r>
      <w:r w:rsidR="00147999" w:rsidRPr="007D14B4">
        <w:rPr>
          <w:sz w:val="28"/>
          <w:szCs w:val="28"/>
        </w:rPr>
        <w:t xml:space="preserve"> </w:t>
      </w:r>
      <w:r w:rsidRPr="007D14B4">
        <w:rPr>
          <w:sz w:val="28"/>
          <w:szCs w:val="28"/>
        </w:rPr>
        <w:t xml:space="preserve">городского поселения </w:t>
      </w:r>
      <w:r w:rsidR="00147999">
        <w:rPr>
          <w:sz w:val="28"/>
          <w:szCs w:val="28"/>
        </w:rPr>
        <w:t xml:space="preserve">Усольского </w:t>
      </w:r>
      <w:r w:rsidRPr="007D14B4">
        <w:rPr>
          <w:sz w:val="28"/>
          <w:szCs w:val="28"/>
        </w:rPr>
        <w:t xml:space="preserve">муниципального </w:t>
      </w:r>
      <w:r w:rsidR="00147999">
        <w:rPr>
          <w:sz w:val="28"/>
          <w:szCs w:val="28"/>
        </w:rPr>
        <w:t>района Иркутской области</w:t>
      </w:r>
    </w:p>
    <w:p w:rsidR="00294A7A" w:rsidRPr="007D14B4" w:rsidRDefault="00294A7A" w:rsidP="00294A7A">
      <w:pPr>
        <w:rPr>
          <w:sz w:val="28"/>
          <w:szCs w:val="28"/>
        </w:rPr>
      </w:pPr>
      <w:r w:rsidRPr="007D14B4">
        <w:rPr>
          <w:sz w:val="28"/>
          <w:szCs w:val="28"/>
        </w:rPr>
        <w:t>ПОСТАНОВЛЯЕТ:</w:t>
      </w:r>
    </w:p>
    <w:p w:rsidR="00294A7A" w:rsidRPr="007D14B4" w:rsidRDefault="00294A7A" w:rsidP="00294A7A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4B4">
        <w:rPr>
          <w:rFonts w:ascii="Times New Roman" w:hAnsi="Times New Roman"/>
          <w:sz w:val="28"/>
          <w:szCs w:val="28"/>
        </w:rPr>
        <w:t>1. Внести изменения в муниципальную программу «Формирование современной городской среды Тайтурского муниципального образования» на 2018-2024 годы</w:t>
      </w:r>
      <w:r w:rsidRPr="007D14B4">
        <w:rPr>
          <w:rFonts w:ascii="Times New Roman" w:hAnsi="Times New Roman"/>
          <w:bCs/>
          <w:sz w:val="28"/>
          <w:szCs w:val="28"/>
        </w:rPr>
        <w:t xml:space="preserve"> утвержденную постановлением администрации городского поселения Тайтурского муниципального образования от 19.12.2017 года  № 311,</w:t>
      </w:r>
      <w:r w:rsidRPr="007D14B4">
        <w:rPr>
          <w:rFonts w:ascii="Times New Roman" w:hAnsi="Times New Roman"/>
          <w:sz w:val="28"/>
          <w:szCs w:val="28"/>
        </w:rPr>
        <w:t xml:space="preserve"> </w:t>
      </w:r>
      <w:r w:rsidR="00C75F60" w:rsidRPr="007D14B4">
        <w:rPr>
          <w:rFonts w:ascii="Times New Roman" w:hAnsi="Times New Roman"/>
          <w:sz w:val="28"/>
          <w:szCs w:val="28"/>
        </w:rPr>
        <w:t xml:space="preserve">в редакции от </w:t>
      </w:r>
      <w:r w:rsidR="000307D0">
        <w:rPr>
          <w:rFonts w:ascii="Times New Roman" w:hAnsi="Times New Roman"/>
          <w:sz w:val="28"/>
          <w:szCs w:val="28"/>
        </w:rPr>
        <w:t>18.10</w:t>
      </w:r>
      <w:r w:rsidR="009158F8">
        <w:rPr>
          <w:rFonts w:ascii="Times New Roman" w:hAnsi="Times New Roman"/>
          <w:sz w:val="28"/>
          <w:szCs w:val="28"/>
        </w:rPr>
        <w:t>.2021г. №</w:t>
      </w:r>
      <w:r w:rsidR="000307D0">
        <w:rPr>
          <w:rFonts w:ascii="Times New Roman" w:hAnsi="Times New Roman"/>
          <w:sz w:val="28"/>
          <w:szCs w:val="28"/>
        </w:rPr>
        <w:t>229</w:t>
      </w:r>
      <w:r w:rsidRPr="007D14B4"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1.1. В Разделе 1 «Паспорт муниципальной программы» в таблице Строку «</w:t>
      </w:r>
      <w:r w:rsidRPr="007D14B4">
        <w:rPr>
          <w:sz w:val="28"/>
          <w:szCs w:val="28"/>
          <w:lang w:eastAsia="en-US"/>
        </w:rPr>
        <w:t>Ресурсное обеспечение муниципальной программы»</w:t>
      </w:r>
      <w:r w:rsidRPr="007D14B4">
        <w:rPr>
          <w:sz w:val="28"/>
          <w:szCs w:val="28"/>
        </w:rPr>
        <w:t xml:space="preserve">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519"/>
      </w:tblGrid>
      <w:tr w:rsidR="00294A7A" w:rsidRPr="007D14B4" w:rsidTr="00293713">
        <w:tc>
          <w:tcPr>
            <w:tcW w:w="2943" w:type="dxa"/>
          </w:tcPr>
          <w:p w:rsidR="00294A7A" w:rsidRPr="007D14B4" w:rsidRDefault="00294A7A" w:rsidP="00293713">
            <w:pPr>
              <w:jc w:val="both"/>
            </w:pPr>
            <w:r w:rsidRPr="007D14B4">
              <w:t>Ресурсное обеспечение муниципальной Программы</w:t>
            </w:r>
          </w:p>
        </w:tc>
        <w:tc>
          <w:tcPr>
            <w:tcW w:w="6519" w:type="dxa"/>
            <w:vAlign w:val="center"/>
          </w:tcPr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 w:rsidR="000307D0">
              <w:t>18320,332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0307D0">
              <w:t>2698,552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EB74E4">
              <w:rPr>
                <w:rFonts w:eastAsia="Calibri"/>
              </w:rPr>
              <w:t>2597,02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0307D0">
              <w:rPr>
                <w:rFonts w:eastAsia="Calibri"/>
              </w:rPr>
              <w:t>13024,76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lastRenderedPageBreak/>
              <w:t>на 2018 год 69,0 тыс. руб.,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69,0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2019 год 3202,97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418,46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500,56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2283,95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2020 год </w:t>
            </w:r>
            <w:r w:rsidR="00AE5CE2" w:rsidRPr="007D14B4">
              <w:t>4735,19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AE5CE2" w:rsidRPr="007D14B4">
              <w:t>705,39</w:t>
            </w:r>
            <w:r w:rsidRPr="007D14B4">
              <w:t xml:space="preserve"> </w:t>
            </w:r>
            <w:r w:rsidRPr="007D14B4">
              <w:rPr>
                <w:rFonts w:eastAsia="Calibri"/>
              </w:rPr>
              <w:t>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AE5CE2" w:rsidRPr="007D14B4">
              <w:rPr>
                <w:rFonts w:eastAsia="Calibri"/>
              </w:rPr>
              <w:t>772,18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AE5CE2" w:rsidRPr="007D14B4">
              <w:rPr>
                <w:rFonts w:eastAsia="Calibri"/>
              </w:rPr>
              <w:t>3257,62</w:t>
            </w:r>
            <w:r w:rsidRPr="007D14B4">
              <w:rPr>
                <w:rFonts w:eastAsia="Calibri"/>
              </w:rPr>
              <w:t xml:space="preserve"> тыс. руб.; 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2021 год </w:t>
            </w:r>
            <w:r w:rsidR="00DA0739">
              <w:rPr>
                <w:rFonts w:eastAsia="Calibri"/>
              </w:rPr>
              <w:t>3391,24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158,57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областного бюджета </w:t>
            </w:r>
            <w:r w:rsidR="00731336" w:rsidRPr="007D14B4">
              <w:rPr>
                <w:rFonts w:eastAsia="Calibri"/>
              </w:rPr>
              <w:t>745,47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федерального бюджета </w:t>
            </w:r>
            <w:r w:rsidR="00731336" w:rsidRPr="007D14B4">
              <w:rPr>
                <w:rFonts w:eastAsia="Calibri"/>
              </w:rPr>
              <w:t>2487,2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0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2022 год </w:t>
            </w:r>
            <w:r w:rsidR="00DA0739">
              <w:rPr>
                <w:rFonts w:eastAsia="Calibri"/>
              </w:rPr>
              <w:t>2978,51</w:t>
            </w:r>
            <w:r w:rsidRPr="007D14B4">
              <w:rPr>
                <w:rFonts w:eastAsia="Calibri"/>
              </w:rPr>
              <w:t xml:space="preserve"> 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DA0739">
              <w:rPr>
                <w:rFonts w:eastAsia="Calibri"/>
              </w:rPr>
              <w:t>129,31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EB74E4">
              <w:rPr>
                <w:rFonts w:eastAsia="Calibri"/>
              </w:rPr>
              <w:t>578,81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EB74E4">
              <w:rPr>
                <w:rFonts w:eastAsia="Calibri"/>
              </w:rPr>
              <w:t>2270,39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на 2023 год </w:t>
            </w:r>
            <w:r w:rsidR="000307D0">
              <w:rPr>
                <w:rFonts w:eastAsia="Calibri"/>
              </w:rPr>
              <w:t xml:space="preserve">3943,422 </w:t>
            </w:r>
            <w:r w:rsidRPr="007D14B4">
              <w:rPr>
                <w:rFonts w:eastAsia="Calibri"/>
              </w:rPr>
              <w:t>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 xml:space="preserve">местного бюджета </w:t>
            </w:r>
            <w:r w:rsidR="000307D0">
              <w:rPr>
                <w:rFonts w:eastAsia="Calibri"/>
              </w:rPr>
              <w:t>1217,822</w:t>
            </w:r>
            <w:r w:rsidRPr="007D14B4">
              <w:rPr>
                <w:rFonts w:eastAsia="Calibri"/>
              </w:rPr>
              <w:t xml:space="preserve">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0307D0">
              <w:rPr>
                <w:rFonts w:eastAsia="Calibri"/>
              </w:rPr>
              <w:t>2725,6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на 2024 год 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___тыс. руб.,   из них средств: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местного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областного бюджета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федерального бюджета 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 руб.;</w:t>
            </w:r>
          </w:p>
          <w:p w:rsidR="00294A7A" w:rsidRPr="007D14B4" w:rsidRDefault="00294A7A" w:rsidP="00293713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7D14B4">
              <w:rPr>
                <w:rFonts w:eastAsia="Calibri"/>
              </w:rPr>
              <w:t>иные источники ____</w:t>
            </w:r>
            <w:r w:rsidR="00AE5CE2" w:rsidRPr="007D14B4">
              <w:rPr>
                <w:rFonts w:eastAsia="Calibri"/>
              </w:rPr>
              <w:t>0</w:t>
            </w:r>
            <w:r w:rsidRPr="007D14B4">
              <w:rPr>
                <w:rFonts w:eastAsia="Calibri"/>
              </w:rPr>
              <w:t>___ тыс.</w:t>
            </w:r>
            <w:r w:rsidR="00AE5CE2" w:rsidRPr="007D14B4">
              <w:rPr>
                <w:rFonts w:eastAsia="Calibri"/>
              </w:rPr>
              <w:t xml:space="preserve"> </w:t>
            </w:r>
            <w:r w:rsidRPr="007D14B4">
              <w:rPr>
                <w:rFonts w:eastAsia="Calibri"/>
              </w:rPr>
              <w:t>руб.</w:t>
            </w:r>
          </w:p>
        </w:tc>
      </w:tr>
    </w:tbl>
    <w:p w:rsidR="00294A7A" w:rsidRPr="007D14B4" w:rsidRDefault="00294A7A" w:rsidP="00294A7A"/>
    <w:p w:rsidR="00294A7A" w:rsidRPr="007D14B4" w:rsidRDefault="00294A7A" w:rsidP="00294A7A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1.2. Абзац 2 Раздела 5 Ресурсное обеспечение программы изложить в следующей редакции:</w:t>
      </w:r>
    </w:p>
    <w:p w:rsidR="00294A7A" w:rsidRPr="007D14B4" w:rsidRDefault="00294A7A" w:rsidP="00294A7A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0307D0">
        <w:rPr>
          <w:sz w:val="28"/>
          <w:szCs w:val="28"/>
        </w:rPr>
        <w:t>18320,332</w:t>
      </w:r>
      <w:r w:rsidRPr="007D14B4">
        <w:rPr>
          <w:b/>
        </w:rPr>
        <w:t xml:space="preserve"> </w:t>
      </w:r>
      <w:r w:rsidRPr="007D14B4">
        <w:rPr>
          <w:sz w:val="28"/>
          <w:szCs w:val="28"/>
        </w:rPr>
        <w:t xml:space="preserve">тыс. руб. </w:t>
      </w:r>
    </w:p>
    <w:p w:rsidR="00294A7A" w:rsidRPr="007D14B4" w:rsidRDefault="00294A7A" w:rsidP="00294A7A">
      <w:pPr>
        <w:jc w:val="right"/>
        <w:rPr>
          <w:sz w:val="28"/>
          <w:szCs w:val="28"/>
        </w:rPr>
      </w:pPr>
      <w:r w:rsidRPr="007D14B4">
        <w:rPr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294A7A" w:rsidRPr="007D14B4" w:rsidTr="00293713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Период реализации программы </w:t>
            </w:r>
            <w:r w:rsidRPr="007D14B4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 xml:space="preserve">Объем финансирования, тыс. руб. 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Финансовые</w:t>
            </w:r>
            <w:r w:rsidRPr="007D14B4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источникам:</w:t>
            </w:r>
          </w:p>
        </w:tc>
      </w:tr>
      <w:tr w:rsidR="00294A7A" w:rsidRPr="007D14B4" w:rsidTr="00293713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Иные источники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0307D0" w:rsidP="00293713">
            <w:pPr>
              <w:jc w:val="both"/>
            </w:pPr>
            <w:r>
              <w:t>18320,332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0307D0" w:rsidP="00293713">
            <w:pPr>
              <w:jc w:val="both"/>
            </w:pPr>
            <w:r>
              <w:t>2698,552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rPr>
                <w:rFonts w:eastAsia="Calibri"/>
              </w:rPr>
              <w:t>2597,02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0307D0" w:rsidP="00293713">
            <w:pPr>
              <w:jc w:val="both"/>
            </w:pPr>
            <w:r>
              <w:rPr>
                <w:rFonts w:eastAsia="Calibri"/>
              </w:rPr>
              <w:t>13024,76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lastRenderedPageBreak/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AE5CE2" w:rsidP="00293713">
            <w:pPr>
              <w:jc w:val="both"/>
            </w:pPr>
            <w:r w:rsidRPr="007D14B4"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3391,24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158,57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731336" w:rsidP="00293713">
            <w:pPr>
              <w:jc w:val="both"/>
            </w:pPr>
            <w:r w:rsidRPr="007D14B4"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2978,51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DA0739" w:rsidP="00293713">
            <w:pPr>
              <w:jc w:val="both"/>
            </w:pPr>
            <w:r>
              <w:t>129,31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t>578,81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EB74E4" w:rsidP="00293713">
            <w:pPr>
              <w:jc w:val="both"/>
            </w:pPr>
            <w:r>
              <w:t>2270,39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0307D0" w:rsidP="00293713">
            <w:pPr>
              <w:jc w:val="both"/>
            </w:pPr>
            <w:r>
              <w:t>3943,422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0307D0" w:rsidP="00293713">
            <w:pPr>
              <w:jc w:val="both"/>
            </w:pPr>
            <w:r>
              <w:t>1217,822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0307D0" w:rsidP="00293713">
            <w:pPr>
              <w:jc w:val="both"/>
            </w:pPr>
            <w:r>
              <w:t>2725,6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  <w:tr w:rsidR="00294A7A" w:rsidRPr="007D14B4" w:rsidTr="00293713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7A" w:rsidRPr="007D14B4" w:rsidRDefault="00294A7A" w:rsidP="00293713">
            <w:pPr>
              <w:jc w:val="both"/>
            </w:pPr>
            <w:r w:rsidRPr="007D14B4">
              <w:t>0</w:t>
            </w:r>
          </w:p>
        </w:tc>
      </w:tr>
    </w:tbl>
    <w:p w:rsidR="00E37F6F" w:rsidRPr="007D14B4" w:rsidRDefault="00E37F6F" w:rsidP="004D7C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 xml:space="preserve">2. Ведущему специалисту по бюджетно-финансовой политике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="000307D0" w:rsidRPr="007D14B4">
        <w:rPr>
          <w:sz w:val="28"/>
          <w:szCs w:val="28"/>
        </w:rPr>
        <w:t xml:space="preserve"> </w:t>
      </w:r>
      <w:r w:rsidRPr="007D14B4">
        <w:rPr>
          <w:sz w:val="28"/>
          <w:szCs w:val="28"/>
        </w:rPr>
        <w:t>(</w:t>
      </w:r>
      <w:proofErr w:type="spellStart"/>
      <w:r w:rsidRPr="007D14B4">
        <w:rPr>
          <w:sz w:val="28"/>
          <w:szCs w:val="28"/>
        </w:rPr>
        <w:t>Клыш</w:t>
      </w:r>
      <w:proofErr w:type="spellEnd"/>
      <w:r w:rsidRPr="007D14B4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муниципального образования» на 2018-2024 годы.</w:t>
      </w: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3. Ответственность за выполнение Программы возло</w:t>
      </w:r>
      <w:r w:rsidR="000307D0">
        <w:rPr>
          <w:sz w:val="28"/>
          <w:szCs w:val="28"/>
        </w:rPr>
        <w:t xml:space="preserve">жить на специалиста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Pr="007D14B4">
        <w:rPr>
          <w:sz w:val="28"/>
          <w:szCs w:val="28"/>
        </w:rPr>
        <w:t xml:space="preserve"> - Е.Н. Соболеву. </w:t>
      </w:r>
    </w:p>
    <w:p w:rsidR="00046BED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4.  О</w:t>
      </w:r>
      <w:r w:rsidRPr="007D14B4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Pr="007D14B4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  <w:r w:rsidR="00810D44" w:rsidRPr="007D14B4">
        <w:rPr>
          <w:sz w:val="28"/>
          <w:szCs w:val="28"/>
        </w:rPr>
        <w:t xml:space="preserve"> </w:t>
      </w:r>
      <w:permEnd w:id="1058085543"/>
    </w:p>
    <w:p w:rsidR="001C2262" w:rsidRPr="007D14B4" w:rsidRDefault="001C2262" w:rsidP="004135FC">
      <w:pPr>
        <w:ind w:firstLine="709"/>
        <w:jc w:val="both"/>
        <w:rPr>
          <w:sz w:val="28"/>
          <w:szCs w:val="28"/>
        </w:rPr>
      </w:pPr>
    </w:p>
    <w:p w:rsidR="001C2262" w:rsidRPr="007D14B4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1C2262" w:rsidRPr="007D14B4" w:rsidTr="000307D0">
        <w:tc>
          <w:tcPr>
            <w:tcW w:w="5211" w:type="dxa"/>
          </w:tcPr>
          <w:p w:rsidR="000307D0" w:rsidRDefault="00AE5CE2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Глава</w:t>
            </w:r>
            <w:r w:rsidR="001C2262" w:rsidRPr="007D14B4">
              <w:rPr>
                <w:kern w:val="2"/>
                <w:sz w:val="28"/>
                <w:szCs w:val="28"/>
              </w:rPr>
              <w:t xml:space="preserve"> </w:t>
            </w:r>
            <w:r w:rsidR="000307D0" w:rsidRPr="007D14B4">
              <w:rPr>
                <w:sz w:val="28"/>
                <w:szCs w:val="28"/>
              </w:rPr>
              <w:t xml:space="preserve">Тайтурского </w:t>
            </w:r>
            <w:r w:rsidR="000307D0">
              <w:rPr>
                <w:sz w:val="28"/>
                <w:szCs w:val="28"/>
              </w:rPr>
              <w:t>городского поселения</w:t>
            </w:r>
          </w:p>
          <w:p w:rsidR="000307D0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Pr="007D14B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D22CD8" w:rsidRPr="007D14B4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644" w:type="dxa"/>
          </w:tcPr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AE5CE2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14B4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lastRenderedPageBreak/>
        <w:t xml:space="preserve">Подготовил: </w:t>
      </w:r>
      <w:permStart w:id="87565427" w:edGrp="everyone"/>
      <w:r w:rsidRPr="007D14B4">
        <w:rPr>
          <w:color w:val="000000"/>
          <w:sz w:val="28"/>
          <w:szCs w:val="28"/>
        </w:rPr>
        <w:t xml:space="preserve">специалист администрации по </w:t>
      </w:r>
      <w:r w:rsidR="00294A7A" w:rsidRPr="007D14B4">
        <w:rPr>
          <w:color w:val="000000"/>
          <w:sz w:val="28"/>
          <w:szCs w:val="28"/>
        </w:rPr>
        <w:t>землепользованию и благоустройству</w:t>
      </w:r>
      <w:r w:rsidRPr="007D14B4">
        <w:rPr>
          <w:color w:val="000000"/>
          <w:sz w:val="28"/>
          <w:szCs w:val="28"/>
        </w:rPr>
        <w:t xml:space="preserve"> </w:t>
      </w:r>
      <w:permEnd w:id="87565427"/>
      <w:r w:rsidRPr="007D14B4">
        <w:rPr>
          <w:color w:val="000000"/>
          <w:sz w:val="28"/>
          <w:szCs w:val="28"/>
        </w:rPr>
        <w:t>______</w:t>
      </w:r>
      <w:permStart w:id="341599799" w:edGrp="everyone"/>
      <w:r w:rsidR="00294A7A" w:rsidRPr="007D14B4">
        <w:rPr>
          <w:color w:val="000000"/>
          <w:sz w:val="28"/>
          <w:szCs w:val="28"/>
        </w:rPr>
        <w:t xml:space="preserve"> Е.Н. Соболев</w:t>
      </w:r>
      <w:r w:rsidRPr="007D14B4">
        <w:rPr>
          <w:color w:val="000000"/>
          <w:sz w:val="28"/>
          <w:szCs w:val="28"/>
        </w:rPr>
        <w:t>а</w:t>
      </w:r>
      <w:permEnd w:id="341599799"/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93BD0" w:rsidRPr="007D14B4">
        <w:rPr>
          <w:color w:val="000000"/>
          <w:sz w:val="28"/>
          <w:szCs w:val="28"/>
        </w:rPr>
        <w:t xml:space="preserve">О.В. </w:t>
      </w:r>
      <w:proofErr w:type="spellStart"/>
      <w:r w:rsidR="00193BD0" w:rsidRPr="007D14B4">
        <w:rPr>
          <w:color w:val="000000"/>
          <w:sz w:val="28"/>
          <w:szCs w:val="28"/>
        </w:rPr>
        <w:t>Мунтян</w:t>
      </w:r>
      <w:proofErr w:type="spellEnd"/>
      <w:r w:rsidRPr="007D14B4">
        <w:rPr>
          <w:color w:val="000000"/>
          <w:sz w:val="28"/>
          <w:szCs w:val="28"/>
        </w:rPr>
        <w:t xml:space="preserve"> </w:t>
      </w:r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E03E66" w:rsidRPr="007D14B4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Pr="007D14B4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Согласовано: ведущий специалист администрации по</w:t>
      </w:r>
      <w:r w:rsidRPr="007D14B4">
        <w:rPr>
          <w:sz w:val="28"/>
          <w:szCs w:val="28"/>
        </w:rPr>
        <w:t xml:space="preserve"> бюджетно-финансовой политике</w:t>
      </w:r>
      <w:r w:rsidRPr="007D14B4">
        <w:rPr>
          <w:color w:val="000000"/>
          <w:sz w:val="28"/>
          <w:szCs w:val="28"/>
        </w:rPr>
        <w:t xml:space="preserve"> __________ Е.В. </w:t>
      </w:r>
      <w:proofErr w:type="spellStart"/>
      <w:r w:rsidRPr="007D14B4">
        <w:rPr>
          <w:color w:val="000000"/>
          <w:sz w:val="28"/>
          <w:szCs w:val="28"/>
        </w:rPr>
        <w:t>Клыш</w:t>
      </w:r>
      <w:proofErr w:type="spellEnd"/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bookmarkStart w:id="0" w:name="_GoBack"/>
      <w:bookmarkEnd w:id="0"/>
      <w:r w:rsidRPr="007D14B4">
        <w:rPr>
          <w:color w:val="000000"/>
          <w:sz w:val="28"/>
          <w:szCs w:val="28"/>
        </w:rPr>
        <w:t xml:space="preserve"> г.</w:t>
      </w:r>
    </w:p>
    <w:sectPr w:rsidR="002C3E7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E" w:rsidRDefault="00D67B4E">
      <w:r>
        <w:separator/>
      </w:r>
    </w:p>
  </w:endnote>
  <w:endnote w:type="continuationSeparator" w:id="0">
    <w:p w:rsidR="00D67B4E" w:rsidRDefault="00D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E" w:rsidRDefault="00D67B4E">
      <w:r>
        <w:separator/>
      </w:r>
    </w:p>
  </w:footnote>
  <w:footnote w:type="continuationSeparator" w:id="0">
    <w:p w:rsidR="00D67B4E" w:rsidRDefault="00D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3789"/>
      <w:docPartObj>
        <w:docPartGallery w:val="Page Numbers (Top of Page)"/>
        <w:docPartUnique/>
      </w:docPartObj>
    </w:sdtPr>
    <w:sdtEndPr/>
    <w:sdtContent>
      <w:p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D0">
          <w:rPr>
            <w:noProof/>
          </w:rPr>
          <w:t>2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45F0D"/>
    <w:multiLevelType w:val="hybridMultilevel"/>
    <w:tmpl w:val="B364B2C4"/>
    <w:lvl w:ilvl="0" w:tplc="BBE00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07D0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56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999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BD0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0D0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5D0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62D7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5FC"/>
    <w:rsid w:val="004137EF"/>
    <w:rsid w:val="00414D00"/>
    <w:rsid w:val="00415044"/>
    <w:rsid w:val="00416346"/>
    <w:rsid w:val="0041695D"/>
    <w:rsid w:val="00416F6C"/>
    <w:rsid w:val="004170B0"/>
    <w:rsid w:val="0042083C"/>
    <w:rsid w:val="004214BA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4C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31D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C57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9D6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208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DA5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740A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01B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4B4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8F8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515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173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73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37F6F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281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4E2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4E4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53B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F183-1520-4F73-B972-78C6D8D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659</TotalTime>
  <Pages>4</Pages>
  <Words>644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5144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2023-01-10T05:55:00Z</cp:lastPrinted>
  <dcterms:created xsi:type="dcterms:W3CDTF">2020-11-10T01:25:00Z</dcterms:created>
  <dcterms:modified xsi:type="dcterms:W3CDTF">2023-01-10T06:24:00Z</dcterms:modified>
</cp:coreProperties>
</file>